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5EF7" w14:textId="77777777" w:rsidR="001365F9" w:rsidRPr="001365F9" w:rsidRDefault="001365F9" w:rsidP="001365F9">
      <w:pPr>
        <w:rPr>
          <w:b/>
          <w:bCs/>
        </w:rPr>
      </w:pPr>
      <w:proofErr w:type="spellStart"/>
      <w:r w:rsidRPr="001365F9">
        <w:rPr>
          <w:b/>
          <w:bCs/>
        </w:rPr>
        <w:t>Ectoline</w:t>
      </w:r>
      <w:proofErr w:type="spellEnd"/>
      <w:r w:rsidRPr="001365F9">
        <w:rPr>
          <w:b/>
          <w:bCs/>
        </w:rPr>
        <w:t>® Spray</w:t>
      </w:r>
    </w:p>
    <w:p w14:paraId="771EF375" w14:textId="77777777" w:rsidR="001365F9" w:rsidRPr="001365F9" w:rsidRDefault="001365F9" w:rsidP="001365F9">
      <w:r w:rsidRPr="001365F9">
        <w:t>Antiparasitario externo, larvicida, cicatrizante y antimicrobiano.</w:t>
      </w:r>
    </w:p>
    <w:p w14:paraId="796EC583" w14:textId="7C0AE8B6" w:rsidR="001365F9" w:rsidRPr="001365F9" w:rsidRDefault="001365F9" w:rsidP="001365F9">
      <w:r w:rsidRPr="001365F9">
        <w:rPr>
          <w:noProof/>
        </w:rPr>
        <w:drawing>
          <wp:inline distT="0" distB="0" distL="0" distR="0" wp14:anchorId="275C44AD" wp14:editId="43B46EC9">
            <wp:extent cx="2743200" cy="1543050"/>
            <wp:effectExtent l="0" t="0" r="0" b="0"/>
            <wp:docPr id="1" name="Imagen 1" descr="Ectoline&lt;sup&gt;®&lt;/sup&gt; Spray - Argentina - Productos Salud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oline&lt;sup&gt;®&lt;/sup&gt; Spray - Argentina - Productos Salud Anim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p w14:paraId="299C3617" w14:textId="77777777" w:rsidR="001365F9" w:rsidRPr="001365F9" w:rsidRDefault="001365F9" w:rsidP="001365F9">
      <w:r w:rsidRPr="001365F9">
        <w:t>País:</w:t>
      </w:r>
    </w:p>
    <w:p w14:paraId="68D3E1CD" w14:textId="77777777" w:rsidR="001365F9" w:rsidRPr="001365F9" w:rsidRDefault="001365F9" w:rsidP="001365F9">
      <w:r w:rsidRPr="001365F9">
        <w:t>Argentina</w:t>
      </w:r>
    </w:p>
    <w:p w14:paraId="238A6053" w14:textId="77777777" w:rsidR="001365F9" w:rsidRPr="001365F9" w:rsidRDefault="001365F9" w:rsidP="001365F9">
      <w:r w:rsidRPr="001365F9">
        <w:t>Composición:</w:t>
      </w:r>
    </w:p>
    <w:p w14:paraId="0E9E0461" w14:textId="77777777" w:rsidR="001365F9" w:rsidRPr="001365F9" w:rsidRDefault="001365F9" w:rsidP="001365F9">
      <w:r w:rsidRPr="001365F9">
        <w:t xml:space="preserve">Cada 100 ml corresponden a 128 g de concentrado. </w:t>
      </w:r>
      <w:proofErr w:type="spellStart"/>
      <w:r w:rsidRPr="001365F9">
        <w:t>Fipronil</w:t>
      </w:r>
      <w:proofErr w:type="spellEnd"/>
      <w:r w:rsidRPr="001365F9">
        <w:t xml:space="preserve"> 0,32 g, sulfadiazina de plata 0.09 g, aluminio 3,1 g, aceite de soja 11,09 g, diclorometano </w:t>
      </w:r>
      <w:proofErr w:type="spellStart"/>
      <w:r w:rsidRPr="001365F9">
        <w:t>c.s.p</w:t>
      </w:r>
      <w:proofErr w:type="spellEnd"/>
      <w:r w:rsidRPr="001365F9">
        <w:t xml:space="preserve"> 100 ml.</w:t>
      </w:r>
    </w:p>
    <w:p w14:paraId="5F1AC7DE" w14:textId="77777777" w:rsidR="001365F9" w:rsidRPr="001365F9" w:rsidRDefault="001365F9" w:rsidP="001365F9">
      <w:r w:rsidRPr="001365F9">
        <w:t>Presentación: </w:t>
      </w:r>
    </w:p>
    <w:p w14:paraId="21726631" w14:textId="77777777" w:rsidR="001365F9" w:rsidRPr="001365F9" w:rsidRDefault="001365F9" w:rsidP="001365F9">
      <w:r w:rsidRPr="001365F9">
        <w:t>Suspensión spray para uso externo (uso tópico) acondicionado en envase de 500 ml.</w:t>
      </w:r>
    </w:p>
    <w:p w14:paraId="3CC737C6" w14:textId="77777777" w:rsidR="001365F9" w:rsidRPr="001365F9" w:rsidRDefault="001365F9" w:rsidP="001365F9">
      <w:pPr>
        <w:rPr>
          <w:b/>
          <w:bCs/>
        </w:rPr>
      </w:pPr>
      <w:r w:rsidRPr="001365F9">
        <w:rPr>
          <w:b/>
          <w:bCs/>
        </w:rPr>
        <w:t>Datos clave sobre el producto</w:t>
      </w:r>
    </w:p>
    <w:p w14:paraId="41B375D4" w14:textId="77777777" w:rsidR="001365F9" w:rsidRPr="001365F9" w:rsidRDefault="001365F9" w:rsidP="001365F9">
      <w:pPr>
        <w:rPr>
          <w:b/>
          <w:bCs/>
        </w:rPr>
      </w:pPr>
      <w:r w:rsidRPr="001365F9">
        <w:rPr>
          <w:b/>
          <w:bCs/>
        </w:rPr>
        <w:t>Indicaciones</w:t>
      </w:r>
    </w:p>
    <w:p w14:paraId="1CBC2A1F" w14:textId="77777777" w:rsidR="001365F9" w:rsidRPr="001365F9" w:rsidRDefault="001365F9" w:rsidP="001365F9">
      <w:r w:rsidRPr="001365F9">
        <w:t>Antiparasitario curativo de miasis (bicheras) producidas por larvas de </w:t>
      </w:r>
      <w:proofErr w:type="spellStart"/>
      <w:r w:rsidRPr="001365F9">
        <w:rPr>
          <w:i/>
          <w:iCs/>
        </w:rPr>
        <w:t>Cochliomyia</w:t>
      </w:r>
      <w:proofErr w:type="spellEnd"/>
      <w:r w:rsidRPr="001365F9">
        <w:rPr>
          <w:i/>
          <w:iCs/>
        </w:rPr>
        <w:t> </w:t>
      </w:r>
      <w:proofErr w:type="spellStart"/>
      <w:r w:rsidRPr="001365F9">
        <w:rPr>
          <w:i/>
          <w:iCs/>
        </w:rPr>
        <w:t>hominivorax</w:t>
      </w:r>
      <w:proofErr w:type="spellEnd"/>
      <w:r w:rsidRPr="001365F9">
        <w:t xml:space="preserve"> en heridas traumáticas y quirúrgicas (castración, </w:t>
      </w:r>
      <w:proofErr w:type="spellStart"/>
      <w:r w:rsidRPr="001365F9">
        <w:t>descorne</w:t>
      </w:r>
      <w:proofErr w:type="spellEnd"/>
      <w:r w:rsidRPr="001365F9">
        <w:t xml:space="preserve">, descole, etc.), de marcación en fisuras del casco y sobre el ombligo de animales recién nacidos y como auxiliar en el combate de la </w:t>
      </w:r>
      <w:proofErr w:type="spellStart"/>
      <w:r w:rsidRPr="001365F9">
        <w:t>ura</w:t>
      </w:r>
      <w:proofErr w:type="spellEnd"/>
      <w:r w:rsidRPr="001365F9">
        <w:t xml:space="preserve"> (</w:t>
      </w:r>
      <w:proofErr w:type="spellStart"/>
      <w:r w:rsidRPr="001365F9">
        <w:rPr>
          <w:i/>
          <w:iCs/>
        </w:rPr>
        <w:t>Dermatobia</w:t>
      </w:r>
      <w:proofErr w:type="spellEnd"/>
      <w:r w:rsidRPr="001365F9">
        <w:rPr>
          <w:i/>
          <w:iCs/>
        </w:rPr>
        <w:t xml:space="preserve"> hominis</w:t>
      </w:r>
      <w:r w:rsidRPr="001365F9">
        <w:t>).</w:t>
      </w:r>
    </w:p>
    <w:p w14:paraId="6DC22C13" w14:textId="0071D9A0" w:rsidR="00BB745B" w:rsidRDefault="00BB745B"/>
    <w:p w14:paraId="2AB673B1" w14:textId="3481195B" w:rsidR="001365F9" w:rsidRDefault="001365F9"/>
    <w:p w14:paraId="57B6850C" w14:textId="101AFC69" w:rsidR="001365F9" w:rsidRDefault="001365F9"/>
    <w:p w14:paraId="7651F83F" w14:textId="41AD7A41" w:rsidR="001365F9" w:rsidRDefault="001365F9"/>
    <w:p w14:paraId="3737E2B6" w14:textId="76012473" w:rsidR="001365F9" w:rsidRDefault="001365F9"/>
    <w:p w14:paraId="24E042CB" w14:textId="4A6F38B1" w:rsidR="001365F9" w:rsidRDefault="001365F9"/>
    <w:p w14:paraId="27DEBB10" w14:textId="26BB29B5" w:rsidR="001365F9" w:rsidRDefault="001365F9"/>
    <w:p w14:paraId="753BD6DF" w14:textId="13AF2C37" w:rsidR="001365F9" w:rsidRDefault="001365F9"/>
    <w:p w14:paraId="250E4D00" w14:textId="30ACACDA" w:rsidR="001365F9" w:rsidRDefault="001365F9"/>
    <w:p w14:paraId="7B7D8DD1" w14:textId="77777777" w:rsidR="001365F9" w:rsidRPr="001365F9" w:rsidRDefault="001365F9" w:rsidP="001365F9">
      <w:pPr>
        <w:rPr>
          <w:b/>
          <w:bCs/>
        </w:rPr>
      </w:pPr>
      <w:r w:rsidRPr="001365F9">
        <w:rPr>
          <w:b/>
          <w:bCs/>
        </w:rPr>
        <w:lastRenderedPageBreak/>
        <w:br/>
        <w:t xml:space="preserve">ECTOLINE SPRAY </w:t>
      </w:r>
      <w:proofErr w:type="spellStart"/>
      <w:r w:rsidRPr="001365F9">
        <w:rPr>
          <w:b/>
          <w:bCs/>
        </w:rPr>
        <w:t>curabicheras</w:t>
      </w:r>
      <w:proofErr w:type="spellEnd"/>
      <w:r w:rsidRPr="001365F9">
        <w:rPr>
          <w:b/>
          <w:bCs/>
        </w:rPr>
        <w:t xml:space="preserve"> para BOVINOS - BOEHRINGER INGELHEIM (MERIAL) - </w:t>
      </w:r>
      <w:proofErr w:type="spellStart"/>
      <w:r w:rsidRPr="001365F9">
        <w:rPr>
          <w:b/>
          <w:bCs/>
        </w:rPr>
        <w:t>fipronil</w:t>
      </w:r>
      <w:proofErr w:type="spellEnd"/>
      <w:r w:rsidRPr="001365F9">
        <w:rPr>
          <w:b/>
          <w:bCs/>
        </w:rPr>
        <w:t xml:space="preserve"> 0,32% - </w:t>
      </w:r>
      <w:proofErr w:type="spellStart"/>
      <w:r w:rsidRPr="001365F9">
        <w:rPr>
          <w:b/>
          <w:bCs/>
        </w:rPr>
        <w:t>fenilpirazol</w:t>
      </w:r>
      <w:proofErr w:type="spellEnd"/>
    </w:p>
    <w:p w14:paraId="1AB68AD5" w14:textId="77777777" w:rsidR="001365F9" w:rsidRPr="001365F9" w:rsidRDefault="001365F9" w:rsidP="001365F9">
      <w:pPr>
        <w:rPr>
          <w:b/>
          <w:bCs/>
        </w:rPr>
      </w:pPr>
      <w:r w:rsidRPr="001365F9">
        <w:rPr>
          <w:b/>
          <w:bCs/>
        </w:rPr>
        <w:t>Marca comercial: ECTOLINE ® SPRAY</w:t>
      </w:r>
    </w:p>
    <w:p w14:paraId="67F8C340" w14:textId="5EA238ED" w:rsidR="001365F9" w:rsidRPr="001365F9" w:rsidRDefault="001365F9" w:rsidP="001365F9">
      <w:pPr>
        <w:rPr>
          <w:b/>
          <w:bCs/>
        </w:rPr>
      </w:pPr>
      <w:r w:rsidRPr="001365F9">
        <w:rPr>
          <w:b/>
          <w:bCs/>
        </w:rPr>
        <w:t xml:space="preserve">Laboratorio: BOEHRINGER INGELHEIM (MERIAL) </w:t>
      </w:r>
    </w:p>
    <w:p w14:paraId="4D675F17" w14:textId="77777777" w:rsidR="001365F9" w:rsidRPr="001365F9" w:rsidRDefault="00D31E8B" w:rsidP="001365F9">
      <w:r>
        <w:pict w14:anchorId="1AF5BA10">
          <v:rect id="_x0000_i1025" style="width:0;height:.75pt" o:hralign="center" o:hrstd="t" o:hr="t" fillcolor="#a0a0a0" stroked="f"/>
        </w:pict>
      </w:r>
    </w:p>
    <w:p w14:paraId="11B7E454" w14:textId="77777777" w:rsidR="001365F9" w:rsidRPr="001365F9" w:rsidRDefault="001365F9" w:rsidP="001365F9">
      <w:pPr>
        <w:rPr>
          <w:b/>
          <w:bCs/>
        </w:rPr>
      </w:pPr>
      <w:r w:rsidRPr="001365F9">
        <w:rPr>
          <w:b/>
          <w:bCs/>
        </w:rPr>
        <w:t>FORMULACIÓN</w:t>
      </w:r>
    </w:p>
    <w:p w14:paraId="56BF1E5D" w14:textId="5821C9DB" w:rsidR="001365F9" w:rsidRPr="001365F9" w:rsidRDefault="001365F9" w:rsidP="001365F9">
      <w:pPr>
        <w:numPr>
          <w:ilvl w:val="0"/>
          <w:numId w:val="1"/>
        </w:numPr>
      </w:pPr>
      <w:r w:rsidRPr="001365F9">
        <w:rPr>
          <w:b/>
          <w:bCs/>
        </w:rPr>
        <w:t>Solución</w:t>
      </w:r>
      <w:r w:rsidRPr="001365F9">
        <w:t xml:space="preserve"> spray </w:t>
      </w:r>
      <w:proofErr w:type="spellStart"/>
      <w:r w:rsidRPr="001365F9">
        <w:t>curabicheras</w:t>
      </w:r>
      <w:proofErr w:type="spellEnd"/>
      <w:r w:rsidRPr="001365F9">
        <w:t xml:space="preserve"> para administración tópica </w:t>
      </w:r>
    </w:p>
    <w:p w14:paraId="7CFCCA4C" w14:textId="77777777" w:rsidR="001365F9" w:rsidRPr="001365F9" w:rsidRDefault="00D31E8B" w:rsidP="001365F9">
      <w:r>
        <w:pict w14:anchorId="5FEFC79C">
          <v:rect id="_x0000_i1026" style="width:0;height:.75pt" o:hralign="center" o:hrstd="t" o:hr="t" fillcolor="#a0a0a0" stroked="f"/>
        </w:pict>
      </w:r>
    </w:p>
    <w:p w14:paraId="08E9B0C3" w14:textId="77777777" w:rsidR="001365F9" w:rsidRPr="001365F9" w:rsidRDefault="001365F9" w:rsidP="001365F9">
      <w:pPr>
        <w:rPr>
          <w:b/>
          <w:bCs/>
        </w:rPr>
      </w:pPr>
      <w:r w:rsidRPr="001365F9">
        <w:rPr>
          <w:b/>
          <w:bCs/>
        </w:rPr>
        <w:t>CONTENIDO</w:t>
      </w:r>
    </w:p>
    <w:p w14:paraId="082ED2BA" w14:textId="01A91AE5" w:rsidR="001365F9" w:rsidRPr="001365F9" w:rsidRDefault="001365F9" w:rsidP="001365F9">
      <w:r w:rsidRPr="001365F9">
        <w:rPr>
          <w:b/>
          <w:bCs/>
          <w:i/>
          <w:iCs/>
        </w:rPr>
        <w:t>Sustancia activa: </w:t>
      </w:r>
      <w:r w:rsidRPr="001365F9">
        <w:rPr>
          <w:b/>
          <w:bCs/>
        </w:rPr>
        <w:t>FIPRONIL</w:t>
      </w:r>
      <w:r w:rsidRPr="001365F9">
        <w:t> 0,32 g por 100 ml</w:t>
      </w:r>
    </w:p>
    <w:p w14:paraId="0756F1A8" w14:textId="374D162C" w:rsidR="001365F9" w:rsidRPr="001365F9" w:rsidRDefault="001365F9" w:rsidP="001365F9">
      <w:r w:rsidRPr="001365F9">
        <w:rPr>
          <w:b/>
          <w:bCs/>
          <w:i/>
          <w:iCs/>
        </w:rPr>
        <w:t>Clase química de la sustancia activa: </w:t>
      </w:r>
      <w:r w:rsidRPr="001365F9">
        <w:rPr>
          <w:b/>
          <w:bCs/>
        </w:rPr>
        <w:t>FENILPIRAZOL </w:t>
      </w:r>
    </w:p>
    <w:p w14:paraId="5726D2C6" w14:textId="77777777" w:rsidR="001365F9" w:rsidRPr="001365F9" w:rsidRDefault="00D31E8B" w:rsidP="001365F9">
      <w:r>
        <w:pict w14:anchorId="0CC996AC">
          <v:rect id="_x0000_i1027" style="width:0;height:.75pt" o:hralign="center" o:hrstd="t" o:hr="t" fillcolor="#a0a0a0" stroked="f"/>
        </w:pict>
      </w:r>
    </w:p>
    <w:p w14:paraId="0770C941" w14:textId="77777777" w:rsidR="001365F9" w:rsidRPr="001365F9" w:rsidRDefault="001365F9" w:rsidP="001365F9">
      <w:pPr>
        <w:rPr>
          <w:b/>
          <w:bCs/>
        </w:rPr>
      </w:pPr>
      <w:r w:rsidRPr="001365F9">
        <w:rPr>
          <w:b/>
          <w:bCs/>
        </w:rPr>
        <w:t>INDICACIONES*</w:t>
      </w:r>
    </w:p>
    <w:p w14:paraId="0CE5757E" w14:textId="77777777" w:rsidR="001365F9" w:rsidRPr="001365F9" w:rsidRDefault="001365F9" w:rsidP="001365F9">
      <w:r w:rsidRPr="001365F9">
        <w:rPr>
          <w:b/>
          <w:bCs/>
          <w:i/>
          <w:iCs/>
        </w:rPr>
        <w:t>Ganado</w:t>
      </w:r>
    </w:p>
    <w:p w14:paraId="59D92310" w14:textId="77777777" w:rsidR="001365F9" w:rsidRPr="001365F9" w:rsidRDefault="001365F9" w:rsidP="001365F9">
      <w:pPr>
        <w:numPr>
          <w:ilvl w:val="0"/>
          <w:numId w:val="2"/>
        </w:numPr>
      </w:pPr>
      <w:r w:rsidRPr="001365F9">
        <w:t>Bovinos</w:t>
      </w:r>
    </w:p>
    <w:p w14:paraId="7A22F0CE" w14:textId="77777777" w:rsidR="001365F9" w:rsidRPr="001365F9" w:rsidRDefault="001365F9" w:rsidP="001365F9">
      <w:r w:rsidRPr="001365F9">
        <w:rPr>
          <w:b/>
          <w:bCs/>
          <w:i/>
          <w:iCs/>
        </w:rPr>
        <w:t>Parásitos </w:t>
      </w:r>
      <w:r w:rsidRPr="001365F9">
        <w:rPr>
          <w:i/>
          <w:iCs/>
        </w:rPr>
        <w:t>(espectro de acción)</w:t>
      </w:r>
    </w:p>
    <w:p w14:paraId="297D006E" w14:textId="77777777" w:rsidR="001365F9" w:rsidRPr="001365F9" w:rsidRDefault="001365F9" w:rsidP="001365F9">
      <w:pPr>
        <w:numPr>
          <w:ilvl w:val="0"/>
          <w:numId w:val="3"/>
        </w:numPr>
      </w:pPr>
      <w:r w:rsidRPr="001365F9">
        <w:rPr>
          <w:b/>
          <w:bCs/>
        </w:rPr>
        <w:t>Larvicida</w:t>
      </w:r>
      <w:r w:rsidRPr="001365F9">
        <w:t>, </w:t>
      </w:r>
      <w:r w:rsidRPr="001365F9">
        <w:rPr>
          <w:b/>
          <w:bCs/>
        </w:rPr>
        <w:t>cicatrizante</w:t>
      </w:r>
      <w:r w:rsidRPr="001365F9">
        <w:t> y </w:t>
      </w:r>
      <w:r w:rsidRPr="001365F9">
        <w:rPr>
          <w:b/>
          <w:bCs/>
        </w:rPr>
        <w:t>antimicrobiano</w:t>
      </w:r>
      <w:r w:rsidRPr="001365F9">
        <w:t> indicado para la prevención y control de </w:t>
      </w:r>
      <w:r w:rsidRPr="001365F9">
        <w:rPr>
          <w:b/>
          <w:bCs/>
        </w:rPr>
        <w:t>miasis o gusaneras</w:t>
      </w:r>
      <w:r w:rsidRPr="001365F9">
        <w:t> causadas por larvas de </w:t>
      </w:r>
      <w:proofErr w:type="spellStart"/>
      <w:r w:rsidRPr="001365F9">
        <w:rPr>
          <w:i/>
          <w:iCs/>
        </w:rPr>
        <w:t>Cochliomyia</w:t>
      </w:r>
      <w:proofErr w:type="spellEnd"/>
      <w:r w:rsidRPr="001365F9">
        <w:rPr>
          <w:i/>
          <w:iCs/>
        </w:rPr>
        <w:t xml:space="preserve"> </w:t>
      </w:r>
      <w:proofErr w:type="spellStart"/>
      <w:r w:rsidRPr="001365F9">
        <w:rPr>
          <w:i/>
          <w:iCs/>
        </w:rPr>
        <w:t>hominivorax</w:t>
      </w:r>
      <w:proofErr w:type="spellEnd"/>
      <w:r w:rsidRPr="001365F9">
        <w:t> y como ayuda en el control del </w:t>
      </w:r>
      <w:r w:rsidRPr="001365F9">
        <w:rPr>
          <w:b/>
          <w:bCs/>
        </w:rPr>
        <w:t>nuche</w:t>
      </w:r>
      <w:r w:rsidRPr="001365F9">
        <w:t> (</w:t>
      </w:r>
      <w:r w:rsidRPr="001365F9">
        <w:rPr>
          <w:b/>
          <w:bCs/>
        </w:rPr>
        <w:t xml:space="preserve">tórsalo, </w:t>
      </w:r>
      <w:proofErr w:type="spellStart"/>
      <w:r w:rsidRPr="001365F9">
        <w:rPr>
          <w:b/>
          <w:bCs/>
        </w:rPr>
        <w:t>ura</w:t>
      </w:r>
      <w:proofErr w:type="spellEnd"/>
      <w:r w:rsidRPr="001365F9">
        <w:t>) causado por larvas de la mosca </w:t>
      </w:r>
      <w:proofErr w:type="spellStart"/>
      <w:r w:rsidRPr="001365F9">
        <w:rPr>
          <w:i/>
          <w:iCs/>
        </w:rPr>
        <w:t>Dermatobia</w:t>
      </w:r>
      <w:proofErr w:type="spellEnd"/>
      <w:r w:rsidRPr="001365F9">
        <w:rPr>
          <w:i/>
          <w:iCs/>
        </w:rPr>
        <w:t xml:space="preserve"> hominis</w:t>
      </w:r>
      <w:r w:rsidRPr="001365F9">
        <w:t>.</w:t>
      </w:r>
    </w:p>
    <w:p w14:paraId="3B863D86" w14:textId="77777777" w:rsidR="001365F9" w:rsidRPr="001365F9" w:rsidRDefault="001365F9" w:rsidP="001365F9">
      <w:r w:rsidRPr="001365F9">
        <w:t>¿Autorizado para ganado lechero en producción de leche para el consumo humano? </w:t>
      </w:r>
      <w:r w:rsidRPr="001365F9">
        <w:rPr>
          <w:b/>
          <w:bCs/>
        </w:rPr>
        <w:t>Consulte la etiqueta</w:t>
      </w:r>
    </w:p>
    <w:p w14:paraId="27F3150C" w14:textId="4141533F" w:rsidR="001365F9" w:rsidRPr="001365F9" w:rsidRDefault="001365F9" w:rsidP="001365F9">
      <w:r w:rsidRPr="001365F9">
        <w:t>* Puede variar de un país a otro</w:t>
      </w:r>
      <w:r w:rsidRPr="001365F9">
        <w:rPr>
          <w:b/>
          <w:bCs/>
        </w:rPr>
        <w:t>. ¡ATÉNGASE A LA ETIQUETA!</w:t>
      </w:r>
      <w:r w:rsidRPr="001365F9">
        <w:br/>
        <w:t xml:space="preserve">Lea también el artículo en este sitio sobre las diferencias entre las etiquetas de los diferentes países </w:t>
      </w:r>
    </w:p>
    <w:p w14:paraId="337B3F42" w14:textId="77777777" w:rsidR="001365F9" w:rsidRPr="001365F9" w:rsidRDefault="00D31E8B" w:rsidP="001365F9">
      <w:r>
        <w:pict w14:anchorId="2CA606A6">
          <v:rect id="_x0000_i1028" style="width:0;height:.75pt" o:hralign="center" o:hrstd="t" o:hr="t" fillcolor="#a0a0a0" stroked="f"/>
        </w:pict>
      </w:r>
    </w:p>
    <w:p w14:paraId="1A368EE9" w14:textId="77777777" w:rsidR="001365F9" w:rsidRPr="001365F9" w:rsidRDefault="001365F9" w:rsidP="001365F9">
      <w:pPr>
        <w:rPr>
          <w:b/>
          <w:bCs/>
        </w:rPr>
      </w:pPr>
      <w:r w:rsidRPr="001365F9">
        <w:rPr>
          <w:b/>
          <w:bCs/>
        </w:rPr>
        <w:t>DOSIS RECOMENDADA*</w:t>
      </w:r>
    </w:p>
    <w:p w14:paraId="3A154282" w14:textId="77777777" w:rsidR="001365F9" w:rsidRPr="001365F9" w:rsidRDefault="001365F9" w:rsidP="001365F9">
      <w:pPr>
        <w:numPr>
          <w:ilvl w:val="0"/>
          <w:numId w:val="4"/>
        </w:numPr>
      </w:pPr>
      <w:r w:rsidRPr="001365F9">
        <w:t>Posicionar el tubo a 10 cm y pulverizar la región afectada por 5 segundos.</w:t>
      </w:r>
    </w:p>
    <w:p w14:paraId="5CA5421A" w14:textId="77777777" w:rsidR="001365F9" w:rsidRPr="001365F9" w:rsidRDefault="001365F9" w:rsidP="001365F9">
      <w:pPr>
        <w:numPr>
          <w:ilvl w:val="0"/>
          <w:numId w:val="4"/>
        </w:numPr>
      </w:pPr>
      <w:r w:rsidRPr="001365F9">
        <w:t xml:space="preserve">En miasis (bicheras), limpiar bien la región afectada para que el producto alcance las partes más profundas de la lesión y entre </w:t>
      </w:r>
      <w:proofErr w:type="spellStart"/>
      <w:r w:rsidRPr="001365F9">
        <w:t>rapidamente</w:t>
      </w:r>
      <w:proofErr w:type="spellEnd"/>
      <w:r w:rsidRPr="001365F9">
        <w:t xml:space="preserve"> en contacto con las larvas.</w:t>
      </w:r>
    </w:p>
    <w:p w14:paraId="4AE5C738" w14:textId="77777777" w:rsidR="001365F9" w:rsidRPr="001365F9" w:rsidRDefault="001365F9" w:rsidP="001365F9">
      <w:pPr>
        <w:numPr>
          <w:ilvl w:val="0"/>
          <w:numId w:val="4"/>
        </w:numPr>
      </w:pPr>
      <w:r w:rsidRPr="001365F9">
        <w:t>Aplicar el producto de modo que alcance las partes más profundas de la lesión y cubrir toda la superficie de la miasis (bichera) para permitir una adecuada protección contra la reinfestación.</w:t>
      </w:r>
    </w:p>
    <w:p w14:paraId="6C189F22" w14:textId="77777777" w:rsidR="001365F9" w:rsidRPr="001365F9" w:rsidRDefault="001365F9" w:rsidP="001365F9">
      <w:r w:rsidRPr="001365F9">
        <w:t>* Puede variar de un país a otro</w:t>
      </w:r>
      <w:r w:rsidRPr="001365F9">
        <w:rPr>
          <w:b/>
          <w:bCs/>
        </w:rPr>
        <w:t>. ¡ATÉNGASE A LA ETIQUETA!</w:t>
      </w:r>
    </w:p>
    <w:p w14:paraId="079DDBDB" w14:textId="77777777" w:rsidR="001365F9" w:rsidRPr="001365F9" w:rsidRDefault="00D31E8B" w:rsidP="001365F9">
      <w:r>
        <w:lastRenderedPageBreak/>
        <w:pict w14:anchorId="7859D0B0">
          <v:rect id="_x0000_i1029" style="width:0;height:.75pt" o:hralign="center" o:hrstd="t" o:hr="t" fillcolor="#a0a0a0" stroked="f"/>
        </w:pict>
      </w:r>
    </w:p>
    <w:p w14:paraId="4E0827D1" w14:textId="77777777" w:rsidR="001365F9" w:rsidRPr="001365F9" w:rsidRDefault="001365F9" w:rsidP="001365F9">
      <w:pPr>
        <w:rPr>
          <w:b/>
          <w:bCs/>
        </w:rPr>
      </w:pPr>
      <w:r w:rsidRPr="001365F9">
        <w:rPr>
          <w:b/>
          <w:bCs/>
        </w:rPr>
        <w:t>SEGURIDAD</w:t>
      </w:r>
    </w:p>
    <w:p w14:paraId="29EC4CCD" w14:textId="77777777" w:rsidR="001365F9" w:rsidRPr="001365F9" w:rsidRDefault="001365F9" w:rsidP="001365F9">
      <w:r w:rsidRPr="001365F9">
        <w:rPr>
          <w:b/>
          <w:bCs/>
          <w:i/>
          <w:iCs/>
        </w:rPr>
        <w:t>Clase de toxicidad OMS*: </w:t>
      </w:r>
      <w:r w:rsidRPr="001365F9">
        <w:rPr>
          <w:b/>
          <w:bCs/>
        </w:rPr>
        <w:t>U </w:t>
      </w:r>
      <w:r w:rsidRPr="001365F9">
        <w:t>Improbable que presente peligro agudo de intoxicación en uso normal</w:t>
      </w:r>
    </w:p>
    <w:p w14:paraId="694B2013" w14:textId="77777777" w:rsidR="001365F9" w:rsidRPr="001365F9" w:rsidRDefault="001365F9" w:rsidP="001365F9">
      <w:r w:rsidRPr="001365F9">
        <w:t>Consulte los artículos en este sitio sobre los </w:t>
      </w:r>
      <w:r w:rsidRPr="001365F9">
        <w:rPr>
          <w:b/>
          <w:bCs/>
        </w:rPr>
        <w:t>riesgos de los antiparasitarios</w:t>
      </w:r>
      <w:r w:rsidRPr="001365F9">
        <w:t> para:</w:t>
      </w:r>
    </w:p>
    <w:p w14:paraId="021A5D4F" w14:textId="128875FA" w:rsidR="001365F9" w:rsidRPr="001365F9" w:rsidRDefault="001365F9" w:rsidP="001365F9">
      <w:pPr>
        <w:numPr>
          <w:ilvl w:val="0"/>
          <w:numId w:val="5"/>
        </w:numPr>
      </w:pPr>
      <w:r w:rsidRPr="001365F9">
        <w:t>los </w:t>
      </w:r>
      <w:r w:rsidRPr="001365F9">
        <w:rPr>
          <w:b/>
          <w:bCs/>
        </w:rPr>
        <w:t>seres humanos</w:t>
      </w:r>
      <w:r w:rsidRPr="001365F9">
        <w:t> </w:t>
      </w:r>
    </w:p>
    <w:p w14:paraId="487A6276" w14:textId="155371FE" w:rsidR="001365F9" w:rsidRPr="001365F9" w:rsidRDefault="001365F9" w:rsidP="001365F9">
      <w:pPr>
        <w:numPr>
          <w:ilvl w:val="0"/>
          <w:numId w:val="5"/>
        </w:numPr>
      </w:pPr>
      <w:r w:rsidRPr="001365F9">
        <w:t>el </w:t>
      </w:r>
      <w:r w:rsidRPr="001365F9">
        <w:rPr>
          <w:b/>
          <w:bCs/>
        </w:rPr>
        <w:t>ganado</w:t>
      </w:r>
      <w:r w:rsidRPr="001365F9">
        <w:t> </w:t>
      </w:r>
    </w:p>
    <w:p w14:paraId="1A201CA4" w14:textId="7670C2C2" w:rsidR="001365F9" w:rsidRPr="001365F9" w:rsidRDefault="001365F9" w:rsidP="001365F9">
      <w:pPr>
        <w:numPr>
          <w:ilvl w:val="0"/>
          <w:numId w:val="5"/>
        </w:numPr>
      </w:pPr>
      <w:r w:rsidRPr="001365F9">
        <w:t>el </w:t>
      </w:r>
      <w:r w:rsidRPr="001365F9">
        <w:rPr>
          <w:b/>
          <w:bCs/>
        </w:rPr>
        <w:t>medio ambiente </w:t>
      </w:r>
    </w:p>
    <w:p w14:paraId="5CF78CE7" w14:textId="77777777" w:rsidR="001365F9" w:rsidRPr="001365F9" w:rsidRDefault="001365F9" w:rsidP="001365F9">
      <w:r w:rsidRPr="001365F9">
        <w:rPr>
          <w:b/>
          <w:bCs/>
          <w:i/>
          <w:iCs/>
        </w:rPr>
        <w:t>DL50 en ratas (aguda oral)</w:t>
      </w:r>
      <w:r w:rsidRPr="001365F9">
        <w:t>: &gt;5'000 mg/kg*</w:t>
      </w:r>
    </w:p>
    <w:p w14:paraId="1FE56525" w14:textId="403064E1" w:rsidR="001365F9" w:rsidRPr="001365F9" w:rsidRDefault="001365F9" w:rsidP="001365F9">
      <w:r w:rsidRPr="001365F9">
        <w:t xml:space="preserve">*calculado según la directiva 2009 de la OMS en base al LD50 de la(s) sustancia(s) activas </w:t>
      </w:r>
      <w:r w:rsidRPr="001365F9">
        <w:br/>
        <w:t>Pueden interesarle los artículos en este sitio sobre la</w:t>
      </w:r>
      <w:r w:rsidRPr="001365F9">
        <w:rPr>
          <w:b/>
          <w:bCs/>
        </w:rPr>
        <w:t> toxicología de los antiparasitarios </w:t>
      </w:r>
    </w:p>
    <w:p w14:paraId="3E65ED25" w14:textId="77777777" w:rsidR="001365F9" w:rsidRPr="001365F9" w:rsidRDefault="001365F9" w:rsidP="001365F9">
      <w:r w:rsidRPr="001365F9">
        <w:rPr>
          <w:b/>
          <w:bCs/>
          <w:i/>
          <w:iCs/>
        </w:rPr>
        <w:t>¿Sospecha de intoxicación?</w:t>
      </w:r>
    </w:p>
    <w:p w14:paraId="674780D3" w14:textId="3EA2F057" w:rsidR="001365F9" w:rsidRPr="001365F9" w:rsidRDefault="001365F9" w:rsidP="001365F9">
      <w:r w:rsidRPr="001365F9">
        <w:t>Consulte la </w:t>
      </w:r>
      <w:r w:rsidRPr="001365F9">
        <w:rPr>
          <w:b/>
          <w:bCs/>
        </w:rPr>
        <w:t>ficha toxicológica</w:t>
      </w:r>
      <w:r w:rsidRPr="001365F9">
        <w:t> del </w:t>
      </w:r>
      <w:proofErr w:type="spellStart"/>
      <w:r w:rsidRPr="001365F9">
        <w:rPr>
          <w:b/>
          <w:bCs/>
        </w:rPr>
        <w:t>fipronil</w:t>
      </w:r>
      <w:proofErr w:type="spellEnd"/>
      <w:r w:rsidRPr="001365F9">
        <w:t> para más detalles sobre toxicidad, tolerancia, síntomas y tratamiento de envenenamiento, antídoto, etc.</w:t>
      </w:r>
    </w:p>
    <w:p w14:paraId="3D261D6E" w14:textId="77777777" w:rsidR="001365F9" w:rsidRPr="001365F9" w:rsidRDefault="001365F9" w:rsidP="001365F9">
      <w:r w:rsidRPr="001365F9">
        <w:rPr>
          <w:b/>
          <w:bCs/>
          <w:i/>
          <w:iCs/>
        </w:rPr>
        <w:t>Periodo</w:t>
      </w:r>
      <w:r w:rsidRPr="001365F9">
        <w:rPr>
          <w:i/>
          <w:iCs/>
        </w:rPr>
        <w:t> (o tiempo)</w:t>
      </w:r>
      <w:r w:rsidRPr="001365F9">
        <w:rPr>
          <w:b/>
          <w:bCs/>
          <w:i/>
          <w:iCs/>
        </w:rPr>
        <w:t> de espera</w:t>
      </w:r>
      <w:r w:rsidRPr="001365F9">
        <w:t> </w:t>
      </w:r>
      <w:r w:rsidRPr="001365F9">
        <w:rPr>
          <w:i/>
          <w:iCs/>
        </w:rPr>
        <w:t xml:space="preserve">(o de retiro, carencia, resguardo, retención, </w:t>
      </w:r>
      <w:proofErr w:type="spellStart"/>
      <w:r w:rsidRPr="001365F9">
        <w:rPr>
          <w:i/>
          <w:iCs/>
        </w:rPr>
        <w:t>prefaena</w:t>
      </w:r>
      <w:proofErr w:type="spellEnd"/>
      <w:r w:rsidRPr="001365F9">
        <w:rPr>
          <w:i/>
          <w:iCs/>
        </w:rPr>
        <w:t>, etc.)</w:t>
      </w:r>
      <w:r w:rsidRPr="001365F9">
        <w:t> puede variar según el país:</w:t>
      </w:r>
    </w:p>
    <w:p w14:paraId="7A43EBAF" w14:textId="77777777" w:rsidR="001365F9" w:rsidRPr="001365F9" w:rsidRDefault="001365F9" w:rsidP="001365F9">
      <w:pPr>
        <w:numPr>
          <w:ilvl w:val="0"/>
          <w:numId w:val="6"/>
        </w:numPr>
      </w:pPr>
      <w:r w:rsidRPr="001365F9">
        <w:t>Carne: </w:t>
      </w:r>
      <w:r w:rsidRPr="001365F9">
        <w:rPr>
          <w:b/>
          <w:bCs/>
        </w:rPr>
        <w:t>Consulte la etiqueta</w:t>
      </w:r>
    </w:p>
    <w:p w14:paraId="1AB599E7" w14:textId="2E366DAD" w:rsidR="001365F9" w:rsidRPr="001365F9" w:rsidRDefault="001365F9" w:rsidP="001365F9">
      <w:r w:rsidRPr="001365F9">
        <w:t>Pueden interesarle los artículos en este sitio sobre los </w:t>
      </w:r>
      <w:r w:rsidRPr="001365F9">
        <w:rPr>
          <w:b/>
          <w:bCs/>
        </w:rPr>
        <w:t>residuos de los antiparasitarios</w:t>
      </w:r>
      <w:r w:rsidRPr="001365F9">
        <w:t> </w:t>
      </w:r>
    </w:p>
    <w:p w14:paraId="43DDFA2D" w14:textId="77777777" w:rsidR="001365F9" w:rsidRPr="001365F9" w:rsidRDefault="00D31E8B" w:rsidP="001365F9">
      <w:r>
        <w:pict w14:anchorId="28A7ED98">
          <v:rect id="_x0000_i1030" style="width:0;height:.75pt" o:hralign="center" o:hrstd="t" o:hr="t" fillcolor="#a0a0a0" stroked="f"/>
        </w:pict>
      </w:r>
    </w:p>
    <w:p w14:paraId="35D36039" w14:textId="77777777" w:rsidR="001365F9" w:rsidRPr="001365F9" w:rsidRDefault="001365F9" w:rsidP="001365F9">
      <w:pPr>
        <w:rPr>
          <w:b/>
          <w:bCs/>
        </w:rPr>
      </w:pPr>
      <w:r w:rsidRPr="001365F9">
        <w:rPr>
          <w:b/>
          <w:bCs/>
        </w:rPr>
        <w:t>MANEJO Y PREVENCIÓN DE LA RESISTENCIA</w:t>
      </w:r>
    </w:p>
    <w:p w14:paraId="091F3650" w14:textId="77777777" w:rsidR="001365F9" w:rsidRPr="001365F9" w:rsidRDefault="001365F9" w:rsidP="001365F9">
      <w:r w:rsidRPr="001365F9">
        <w:rPr>
          <w:b/>
          <w:bCs/>
          <w:i/>
          <w:iCs/>
        </w:rPr>
        <w:t>¿Qué parásitos, de los indicados en la etiqueta, pueden tener ya resistencia a este producto o pueden desarrollarla con el tiempo si no se toman medidas preventivas?</w:t>
      </w:r>
    </w:p>
    <w:p w14:paraId="0D73591B" w14:textId="77777777" w:rsidR="001365F9" w:rsidRPr="001365F9" w:rsidRDefault="001365F9" w:rsidP="001365F9">
      <w:pPr>
        <w:numPr>
          <w:ilvl w:val="0"/>
          <w:numId w:val="7"/>
        </w:numPr>
      </w:pPr>
      <w:r w:rsidRPr="001365F9">
        <w:rPr>
          <w:b/>
          <w:bCs/>
        </w:rPr>
        <w:t>NINGUNO. </w:t>
      </w:r>
      <w:r w:rsidRPr="001365F9">
        <w:t>No hay reportes de resistencia de las miasis bovinas a los antiparasitarios.</w:t>
      </w:r>
    </w:p>
    <w:p w14:paraId="1D2E2392" w14:textId="77777777" w:rsidR="001365F9" w:rsidRPr="001365F9" w:rsidRDefault="00D31E8B" w:rsidP="001365F9">
      <w:r>
        <w:pict w14:anchorId="4D52AB39">
          <v:rect id="_x0000_i1031" style="width:0;height:.75pt" o:hralign="center" o:hrstd="t" o:hr="t" fillcolor="#a0a0a0" stroked="f"/>
        </w:pict>
      </w:r>
    </w:p>
    <w:p w14:paraId="1E17C4F5" w14:textId="77777777" w:rsidR="001365F9" w:rsidRPr="001365F9" w:rsidRDefault="00D31E8B" w:rsidP="001365F9">
      <w:r>
        <w:pict w14:anchorId="777F7CB9">
          <v:rect id="_x0000_i1032" style="width:0;height:.75pt" o:hralign="center" o:hrstd="t" o:hr="t" fillcolor="#a0a0a0" stroked="f"/>
        </w:pict>
      </w:r>
    </w:p>
    <w:p w14:paraId="10EB9B56" w14:textId="77777777" w:rsidR="001365F9" w:rsidRPr="001365F9" w:rsidRDefault="001365F9" w:rsidP="001365F9">
      <w:pPr>
        <w:rPr>
          <w:b/>
          <w:bCs/>
        </w:rPr>
      </w:pPr>
      <w:r w:rsidRPr="001365F9">
        <w:rPr>
          <w:b/>
          <w:bCs/>
        </w:rPr>
        <w:t>OBSERVACIONES</w:t>
      </w:r>
    </w:p>
    <w:p w14:paraId="39B2EBCA" w14:textId="77777777" w:rsidR="001365F9" w:rsidRPr="001365F9" w:rsidRDefault="001365F9" w:rsidP="001365F9">
      <w:r w:rsidRPr="001365F9">
        <w:t xml:space="preserve">Se trata de un </w:t>
      </w:r>
      <w:proofErr w:type="spellStart"/>
      <w:r w:rsidRPr="001365F9">
        <w:t>curabicheras</w:t>
      </w:r>
      <w:proofErr w:type="spellEnd"/>
      <w:r w:rsidRPr="001365F9">
        <w:t xml:space="preserve"> clásico (en este caso con </w:t>
      </w:r>
      <w:proofErr w:type="spellStart"/>
      <w:r w:rsidRPr="001365F9">
        <w:fldChar w:fldCharType="begin"/>
      </w:r>
      <w:r w:rsidRPr="001365F9">
        <w:instrText xml:space="preserve"> HYPERLINK "https://parasitipedia.net/index.php?option=com_content&amp;view=article&amp;id=288&amp;Itemid=383" \o "Enlace a artículo sobre el FIPRONIL en este sitio" \t "_blank" </w:instrText>
      </w:r>
      <w:r w:rsidRPr="001365F9">
        <w:fldChar w:fldCharType="separate"/>
      </w:r>
      <w:r w:rsidRPr="001365F9">
        <w:rPr>
          <w:rStyle w:val="Hipervnculo"/>
        </w:rPr>
        <w:t>fipronil</w:t>
      </w:r>
      <w:proofErr w:type="spellEnd"/>
      <w:r w:rsidRPr="001365F9">
        <w:fldChar w:fldCharType="end"/>
      </w:r>
      <w:r w:rsidRPr="001365F9">
        <w:t>), también desinfectante y cicatrizante.</w:t>
      </w:r>
    </w:p>
    <w:p w14:paraId="200C6B0B" w14:textId="77777777" w:rsidR="001365F9" w:rsidRPr="001365F9" w:rsidRDefault="001365F9" w:rsidP="001365F9">
      <w:r w:rsidRPr="001365F9">
        <w:t>El </w:t>
      </w:r>
      <w:proofErr w:type="spellStart"/>
      <w:r w:rsidRPr="001365F9">
        <w:fldChar w:fldCharType="begin"/>
      </w:r>
      <w:r w:rsidRPr="001365F9">
        <w:instrText xml:space="preserve"> HYPERLINK "https://parasitipedia.net/index.php?option=com_content&amp;view=article&amp;id=288&amp;Itemid=383" \o "Enlace a artículo sobre el FIPRONIL en este sitio" \t "_blank" </w:instrText>
      </w:r>
      <w:r w:rsidRPr="001365F9">
        <w:fldChar w:fldCharType="separate"/>
      </w:r>
      <w:r w:rsidRPr="001365F9">
        <w:rPr>
          <w:rStyle w:val="Hipervnculo"/>
        </w:rPr>
        <w:t>fipronil</w:t>
      </w:r>
      <w:proofErr w:type="spellEnd"/>
      <w:r w:rsidRPr="001365F9">
        <w:fldChar w:fldCharType="end"/>
      </w:r>
      <w:r w:rsidRPr="001365F9">
        <w:t> es un </w:t>
      </w:r>
      <w:proofErr w:type="spellStart"/>
      <w:r w:rsidRPr="001365F9">
        <w:fldChar w:fldCharType="begin"/>
      </w:r>
      <w:r w:rsidRPr="001365F9">
        <w:instrText xml:space="preserve"> HYPERLINK "https://parasitipedia.net/index.php?option=com_content&amp;view=article&amp;id=76&amp;Itemid=132" \o "Enlace a artículo sobre FENILPIRAZOLES en este sitio" \t "_blank" </w:instrText>
      </w:r>
      <w:r w:rsidRPr="001365F9">
        <w:fldChar w:fldCharType="separate"/>
      </w:r>
      <w:r w:rsidRPr="001365F9">
        <w:rPr>
          <w:rStyle w:val="Hipervnculo"/>
        </w:rPr>
        <w:t>fenilpirazol</w:t>
      </w:r>
      <w:proofErr w:type="spellEnd"/>
      <w:r w:rsidRPr="001365F9">
        <w:fldChar w:fldCharType="end"/>
      </w:r>
      <w:r w:rsidRPr="001365F9">
        <w:t xml:space="preserve"> insecticida y </w:t>
      </w:r>
      <w:proofErr w:type="spellStart"/>
      <w:r w:rsidRPr="001365F9">
        <w:t>garrapaticida</w:t>
      </w:r>
      <w:proofErr w:type="spellEnd"/>
      <w:r w:rsidRPr="001365F9">
        <w:t xml:space="preserve"> de contacto (no sistémico) introducido en veterinaria en la década de 1990 (por RHÔNE-MERIEUX, luego MERIAL). Es eficaz contra </w:t>
      </w:r>
      <w:hyperlink r:id="rId6" w:tgtFrame="_blank" w:tooltip="Enlace a artículo sobre los PULGAS en este sitio" w:history="1">
        <w:r w:rsidRPr="001365F9">
          <w:rPr>
            <w:rStyle w:val="Hipervnculo"/>
          </w:rPr>
          <w:t>pulgas</w:t>
        </w:r>
      </w:hyperlink>
      <w:r w:rsidRPr="001365F9">
        <w:t xml:space="preserve">, otros insectos y también contra ciertas garrapatas de las mascotas y del ganado. Se usa masivamente en mascotas en todo el mundo, y abundantemente en bovinos en América Latina. También se emplea muchísimo en plaguicidas agrícolas y domésticos. Hoy en día hay centenares de productos genéricos con </w:t>
      </w:r>
      <w:proofErr w:type="spellStart"/>
      <w:r w:rsidRPr="001365F9">
        <w:t>fipronil</w:t>
      </w:r>
      <w:proofErr w:type="spellEnd"/>
      <w:r w:rsidRPr="001365F9">
        <w:t xml:space="preserve"> para mascotas en todo el mundo.</w:t>
      </w:r>
    </w:p>
    <w:p w14:paraId="21B306CF" w14:textId="77777777" w:rsidR="001365F9" w:rsidRPr="001365F9" w:rsidRDefault="00D31E8B" w:rsidP="001365F9">
      <w:r>
        <w:lastRenderedPageBreak/>
        <w:pict w14:anchorId="70E0CF4C">
          <v:rect id="_x0000_i1033" style="width:0;height:.75pt" o:hralign="center" o:hrstd="t" o:hr="t" fillcolor="#a0a0a0" stroked="f"/>
        </w:pict>
      </w:r>
    </w:p>
    <w:p w14:paraId="6C18EBC5" w14:textId="77777777" w:rsidR="001365F9" w:rsidRPr="001365F9" w:rsidRDefault="001365F9" w:rsidP="001365F9">
      <w:pPr>
        <w:rPr>
          <w:b/>
          <w:bCs/>
        </w:rPr>
      </w:pPr>
      <w:proofErr w:type="gramStart"/>
      <w:r w:rsidRPr="001365F9">
        <w:rPr>
          <w:b/>
          <w:bCs/>
        </w:rPr>
        <w:t>¡ ADVERTENCIA</w:t>
      </w:r>
      <w:proofErr w:type="gramEnd"/>
      <w:r w:rsidRPr="001365F9">
        <w:rPr>
          <w:b/>
          <w:bCs/>
        </w:rPr>
        <w:t xml:space="preserve"> !</w:t>
      </w:r>
    </w:p>
    <w:p w14:paraId="1319C3BA" w14:textId="77777777" w:rsidR="001365F9" w:rsidRPr="001365F9" w:rsidRDefault="001365F9" w:rsidP="001365F9">
      <w:r w:rsidRPr="001365F9">
        <w:t>El objetivo de este artículo es ofrecer</w:t>
      </w:r>
      <w:r w:rsidRPr="001365F9">
        <w:rPr>
          <w:b/>
          <w:bCs/>
        </w:rPr>
        <w:t> información complementaria </w:t>
      </w:r>
      <w:r w:rsidRPr="001365F9">
        <w:t>a la que suelen ofrecer las etiquetas de los productos. Puede ser útil a quien no está familiarizado con el uso de los antiparasitarios veterinarios.</w:t>
      </w:r>
    </w:p>
    <w:p w14:paraId="5E76846B" w14:textId="38F10262" w:rsidR="001365F9" w:rsidRPr="001365F9" w:rsidRDefault="001365F9" w:rsidP="001365F9">
      <w:r w:rsidRPr="001365F9">
        <w:rPr>
          <w:b/>
          <w:bCs/>
        </w:rPr>
        <w:t>Este artículo no sustituye a la etiqueta del producto</w:t>
      </w:r>
      <w:r w:rsidRPr="001365F9">
        <w:t xml:space="preserve">, ni le exime de leerla atentamente antes de usarlo. Si piensa emplear el producto, en cualquier </w:t>
      </w:r>
      <w:proofErr w:type="gramStart"/>
      <w:r w:rsidRPr="001365F9">
        <w:t>caso</w:t>
      </w:r>
      <w:proofErr w:type="gramEnd"/>
      <w:r w:rsidRPr="001365F9">
        <w:t xml:space="preserve"> debe seguir estrictamente las indicaciones que contiene dicha etiqueta, entre otras razones porque </w:t>
      </w:r>
      <w:r w:rsidRPr="001365F9">
        <w:rPr>
          <w:b/>
          <w:bCs/>
        </w:rPr>
        <w:t>LAS INDICACIONES, LA DOSIFICACIÓN Y LOS PERIODOS DE ESPERA PUEDEN VARIAR DE UN PAÍS A OTRO. </w:t>
      </w:r>
      <w:r w:rsidRPr="001365F9">
        <w:t xml:space="preserve">Lea también el artículo en este sitio sobre este tema </w:t>
      </w:r>
    </w:p>
    <w:p w14:paraId="03C2F283" w14:textId="77777777" w:rsidR="001365F9" w:rsidRPr="001365F9" w:rsidRDefault="001365F9" w:rsidP="001365F9">
      <w:r w:rsidRPr="001365F9">
        <w:t>Los datos específicos sobre el producto descrito en este artículo se han obtenido de publicaciones impresas o electrónicas lo más actuales posibles del laboratorio que lo fabrica o de fuentes oficiales (EMEA, FDA, USDA, etc.). Pero no se ofrece ninguna garantía de que el producto no haya sido modificado tras la publicación de tales datos, ni de que en su caso el laboratorio haya actualizado debidamente todas sus publicaciones al respecto.</w:t>
      </w:r>
    </w:p>
    <w:p w14:paraId="68DE45CF" w14:textId="77777777" w:rsidR="001365F9" w:rsidRPr="001365F9" w:rsidRDefault="001365F9" w:rsidP="001365F9">
      <w:r w:rsidRPr="001365F9">
        <w:t>En caso de duda consulte al laboratorio que fabrica o distribuye este producto o a un médico veterinario.</w:t>
      </w:r>
    </w:p>
    <w:p w14:paraId="3228F536" w14:textId="77777777" w:rsidR="001365F9" w:rsidRPr="001365F9" w:rsidRDefault="001365F9" w:rsidP="001365F9">
      <w:r w:rsidRPr="001365F9">
        <w:t> P. Junquera</w:t>
      </w:r>
    </w:p>
    <w:p w14:paraId="5DDC908E" w14:textId="4A1C22F9" w:rsidR="001365F9" w:rsidRPr="001365F9" w:rsidRDefault="001365F9" w:rsidP="001365F9">
      <w:r w:rsidRPr="001365F9">
        <w:t> </w:t>
      </w:r>
    </w:p>
    <w:p w14:paraId="6B6FF558" w14:textId="71A26F19" w:rsidR="001365F9" w:rsidRDefault="001365F9" w:rsidP="001365F9">
      <w:r w:rsidRPr="001365F9">
        <w:br/>
      </w:r>
    </w:p>
    <w:sectPr w:rsidR="001365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56D"/>
    <w:multiLevelType w:val="multilevel"/>
    <w:tmpl w:val="FFF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115A3"/>
    <w:multiLevelType w:val="multilevel"/>
    <w:tmpl w:val="633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5C16"/>
    <w:multiLevelType w:val="multilevel"/>
    <w:tmpl w:val="E26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D756B"/>
    <w:multiLevelType w:val="multilevel"/>
    <w:tmpl w:val="B286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B39DA"/>
    <w:multiLevelType w:val="multilevel"/>
    <w:tmpl w:val="481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43012"/>
    <w:multiLevelType w:val="multilevel"/>
    <w:tmpl w:val="C49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50CFA"/>
    <w:multiLevelType w:val="multilevel"/>
    <w:tmpl w:val="3014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501D3"/>
    <w:multiLevelType w:val="multilevel"/>
    <w:tmpl w:val="7B0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A22A0"/>
    <w:multiLevelType w:val="multilevel"/>
    <w:tmpl w:val="05A87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84AE9"/>
    <w:multiLevelType w:val="multilevel"/>
    <w:tmpl w:val="3E1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906792">
    <w:abstractNumId w:val="2"/>
  </w:num>
  <w:num w:numId="2" w16cid:durableId="697466499">
    <w:abstractNumId w:val="1"/>
  </w:num>
  <w:num w:numId="3" w16cid:durableId="1313942755">
    <w:abstractNumId w:val="0"/>
  </w:num>
  <w:num w:numId="4" w16cid:durableId="820467022">
    <w:abstractNumId w:val="7"/>
  </w:num>
  <w:num w:numId="5" w16cid:durableId="1175001211">
    <w:abstractNumId w:val="5"/>
  </w:num>
  <w:num w:numId="6" w16cid:durableId="1692216888">
    <w:abstractNumId w:val="6"/>
  </w:num>
  <w:num w:numId="7" w16cid:durableId="1302812624">
    <w:abstractNumId w:val="4"/>
  </w:num>
  <w:num w:numId="8" w16cid:durableId="492989167">
    <w:abstractNumId w:val="3"/>
  </w:num>
  <w:num w:numId="9" w16cid:durableId="330454085">
    <w:abstractNumId w:val="9"/>
  </w:num>
  <w:num w:numId="10" w16cid:durableId="775100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F9"/>
    <w:rsid w:val="001365F9"/>
    <w:rsid w:val="0069628F"/>
    <w:rsid w:val="00BB745B"/>
    <w:rsid w:val="00D31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4FC49F0"/>
  <w15:chartTrackingRefBased/>
  <w15:docId w15:val="{002547A2-B57A-4D6A-9BDF-60626FA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65F9"/>
    <w:rPr>
      <w:color w:val="0563C1" w:themeColor="hyperlink"/>
      <w:u w:val="single"/>
    </w:rPr>
  </w:style>
  <w:style w:type="character" w:styleId="Mencinsinresolver">
    <w:name w:val="Unresolved Mention"/>
    <w:basedOn w:val="Fuentedeprrafopredeter"/>
    <w:uiPriority w:val="99"/>
    <w:semiHidden/>
    <w:unhideWhenUsed/>
    <w:rsid w:val="0013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07092">
      <w:bodyDiv w:val="1"/>
      <w:marLeft w:val="0"/>
      <w:marRight w:val="0"/>
      <w:marTop w:val="0"/>
      <w:marBottom w:val="0"/>
      <w:divBdr>
        <w:top w:val="none" w:sz="0" w:space="0" w:color="auto"/>
        <w:left w:val="none" w:sz="0" w:space="0" w:color="auto"/>
        <w:bottom w:val="none" w:sz="0" w:space="0" w:color="auto"/>
        <w:right w:val="none" w:sz="0" w:space="0" w:color="auto"/>
      </w:divBdr>
      <w:divsChild>
        <w:div w:id="550993358">
          <w:marLeft w:val="0"/>
          <w:marRight w:val="0"/>
          <w:marTop w:val="0"/>
          <w:marBottom w:val="0"/>
          <w:divBdr>
            <w:top w:val="none" w:sz="0" w:space="0" w:color="auto"/>
            <w:left w:val="none" w:sz="0" w:space="0" w:color="auto"/>
            <w:bottom w:val="none" w:sz="0" w:space="0" w:color="auto"/>
            <w:right w:val="none" w:sz="0" w:space="0" w:color="auto"/>
          </w:divBdr>
          <w:divsChild>
            <w:div w:id="1471939428">
              <w:marLeft w:val="0"/>
              <w:marRight w:val="0"/>
              <w:marTop w:val="0"/>
              <w:marBottom w:val="0"/>
              <w:divBdr>
                <w:top w:val="none" w:sz="0" w:space="0" w:color="auto"/>
                <w:left w:val="none" w:sz="0" w:space="0" w:color="auto"/>
                <w:bottom w:val="none" w:sz="0" w:space="0" w:color="auto"/>
                <w:right w:val="none" w:sz="0" w:space="0" w:color="auto"/>
              </w:divBdr>
              <w:divsChild>
                <w:div w:id="1012877377">
                  <w:marLeft w:val="0"/>
                  <w:marRight w:val="0"/>
                  <w:marTop w:val="0"/>
                  <w:marBottom w:val="0"/>
                  <w:divBdr>
                    <w:top w:val="none" w:sz="0" w:space="0" w:color="auto"/>
                    <w:left w:val="none" w:sz="0" w:space="0" w:color="auto"/>
                    <w:bottom w:val="none" w:sz="0" w:space="0" w:color="auto"/>
                    <w:right w:val="none" w:sz="0" w:space="0" w:color="auto"/>
                  </w:divBdr>
                </w:div>
                <w:div w:id="1114203933">
                  <w:marLeft w:val="0"/>
                  <w:marRight w:val="0"/>
                  <w:marTop w:val="0"/>
                  <w:marBottom w:val="0"/>
                  <w:divBdr>
                    <w:top w:val="none" w:sz="0" w:space="0" w:color="auto"/>
                    <w:left w:val="none" w:sz="0" w:space="0" w:color="auto"/>
                    <w:bottom w:val="none" w:sz="0" w:space="0" w:color="auto"/>
                    <w:right w:val="none" w:sz="0" w:space="0" w:color="auto"/>
                  </w:divBdr>
                  <w:divsChild>
                    <w:div w:id="1672757046">
                      <w:marLeft w:val="0"/>
                      <w:marRight w:val="0"/>
                      <w:marTop w:val="0"/>
                      <w:marBottom w:val="0"/>
                      <w:divBdr>
                        <w:top w:val="none" w:sz="0" w:space="0" w:color="auto"/>
                        <w:left w:val="none" w:sz="0" w:space="0" w:color="auto"/>
                        <w:bottom w:val="none" w:sz="0" w:space="0" w:color="auto"/>
                        <w:right w:val="none" w:sz="0" w:space="0" w:color="auto"/>
                      </w:divBdr>
                      <w:divsChild>
                        <w:div w:id="544873973">
                          <w:marLeft w:val="0"/>
                          <w:marRight w:val="0"/>
                          <w:marTop w:val="0"/>
                          <w:marBottom w:val="0"/>
                          <w:divBdr>
                            <w:top w:val="none" w:sz="0" w:space="0" w:color="auto"/>
                            <w:left w:val="none" w:sz="0" w:space="0" w:color="auto"/>
                            <w:bottom w:val="none" w:sz="0" w:space="0" w:color="auto"/>
                            <w:right w:val="none" w:sz="0" w:space="0" w:color="auto"/>
                          </w:divBdr>
                          <w:divsChild>
                            <w:div w:id="1035426590">
                              <w:marLeft w:val="0"/>
                              <w:marRight w:val="0"/>
                              <w:marTop w:val="0"/>
                              <w:marBottom w:val="0"/>
                              <w:divBdr>
                                <w:top w:val="none" w:sz="0" w:space="0" w:color="auto"/>
                                <w:left w:val="none" w:sz="0" w:space="0" w:color="auto"/>
                                <w:bottom w:val="none" w:sz="0" w:space="0" w:color="auto"/>
                                <w:right w:val="none" w:sz="0" w:space="0" w:color="auto"/>
                              </w:divBdr>
                              <w:divsChild>
                                <w:div w:id="269972349">
                                  <w:marLeft w:val="150"/>
                                  <w:marRight w:val="150"/>
                                  <w:marTop w:val="0"/>
                                  <w:marBottom w:val="0"/>
                                  <w:divBdr>
                                    <w:top w:val="none" w:sz="0" w:space="0" w:color="auto"/>
                                    <w:left w:val="none" w:sz="0" w:space="0" w:color="auto"/>
                                    <w:bottom w:val="none" w:sz="0" w:space="0" w:color="auto"/>
                                    <w:right w:val="none" w:sz="0" w:space="0" w:color="auto"/>
                                  </w:divBdr>
                                  <w:divsChild>
                                    <w:div w:id="4650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030096">
          <w:marLeft w:val="0"/>
          <w:marRight w:val="0"/>
          <w:marTop w:val="0"/>
          <w:marBottom w:val="0"/>
          <w:divBdr>
            <w:top w:val="none" w:sz="0" w:space="0" w:color="auto"/>
            <w:left w:val="none" w:sz="0" w:space="0" w:color="auto"/>
            <w:bottom w:val="none" w:sz="0" w:space="0" w:color="auto"/>
            <w:right w:val="none" w:sz="0" w:space="0" w:color="auto"/>
          </w:divBdr>
          <w:divsChild>
            <w:div w:id="1672831264">
              <w:marLeft w:val="0"/>
              <w:marRight w:val="0"/>
              <w:marTop w:val="240"/>
              <w:marBottom w:val="0"/>
              <w:divBdr>
                <w:top w:val="single" w:sz="6" w:space="0" w:color="DFE3E7"/>
                <w:left w:val="single" w:sz="6" w:space="0" w:color="DFE3E7"/>
                <w:bottom w:val="single" w:sz="6" w:space="0" w:color="DFE3E7"/>
                <w:right w:val="single" w:sz="6" w:space="0" w:color="DFE3E7"/>
              </w:divBdr>
              <w:divsChild>
                <w:div w:id="1390763054">
                  <w:marLeft w:val="0"/>
                  <w:marRight w:val="0"/>
                  <w:marTop w:val="0"/>
                  <w:marBottom w:val="0"/>
                  <w:divBdr>
                    <w:top w:val="none" w:sz="0" w:space="0" w:color="auto"/>
                    <w:left w:val="none" w:sz="0" w:space="0" w:color="auto"/>
                    <w:bottom w:val="none" w:sz="0" w:space="0" w:color="auto"/>
                    <w:right w:val="none" w:sz="0" w:space="0" w:color="auto"/>
                  </w:divBdr>
                </w:div>
              </w:divsChild>
            </w:div>
            <w:div w:id="1223440506">
              <w:marLeft w:val="0"/>
              <w:marRight w:val="0"/>
              <w:marTop w:val="240"/>
              <w:marBottom w:val="0"/>
              <w:divBdr>
                <w:top w:val="single" w:sz="6" w:space="0" w:color="DFE3E7"/>
                <w:left w:val="single" w:sz="6" w:space="0" w:color="DFE3E7"/>
                <w:bottom w:val="single" w:sz="6" w:space="0" w:color="DFE3E7"/>
                <w:right w:val="single" w:sz="6" w:space="0" w:color="DFE3E7"/>
              </w:divBdr>
              <w:divsChild>
                <w:div w:id="1211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6514">
      <w:bodyDiv w:val="1"/>
      <w:marLeft w:val="0"/>
      <w:marRight w:val="0"/>
      <w:marTop w:val="0"/>
      <w:marBottom w:val="0"/>
      <w:divBdr>
        <w:top w:val="none" w:sz="0" w:space="0" w:color="auto"/>
        <w:left w:val="none" w:sz="0" w:space="0" w:color="auto"/>
        <w:bottom w:val="none" w:sz="0" w:space="0" w:color="auto"/>
        <w:right w:val="none" w:sz="0" w:space="0" w:color="auto"/>
      </w:divBdr>
      <w:divsChild>
        <w:div w:id="1657952336">
          <w:marLeft w:val="0"/>
          <w:marRight w:val="0"/>
          <w:marTop w:val="0"/>
          <w:marBottom w:val="0"/>
          <w:divBdr>
            <w:top w:val="none" w:sz="0" w:space="0" w:color="auto"/>
            <w:left w:val="none" w:sz="0" w:space="0" w:color="auto"/>
            <w:bottom w:val="none" w:sz="0" w:space="0" w:color="auto"/>
            <w:right w:val="none" w:sz="0" w:space="0" w:color="auto"/>
          </w:divBdr>
          <w:divsChild>
            <w:div w:id="1819031875">
              <w:marLeft w:val="0"/>
              <w:marRight w:val="0"/>
              <w:marTop w:val="0"/>
              <w:marBottom w:val="0"/>
              <w:divBdr>
                <w:top w:val="none" w:sz="0" w:space="0" w:color="auto"/>
                <w:left w:val="none" w:sz="0" w:space="0" w:color="auto"/>
                <w:bottom w:val="none" w:sz="0" w:space="0" w:color="auto"/>
                <w:right w:val="none" w:sz="0" w:space="0" w:color="auto"/>
              </w:divBdr>
              <w:divsChild>
                <w:div w:id="2041777619">
                  <w:marLeft w:val="0"/>
                  <w:marRight w:val="0"/>
                  <w:marTop w:val="0"/>
                  <w:marBottom w:val="0"/>
                  <w:divBdr>
                    <w:top w:val="none" w:sz="0" w:space="0" w:color="auto"/>
                    <w:left w:val="none" w:sz="0" w:space="0" w:color="auto"/>
                    <w:bottom w:val="none" w:sz="0" w:space="0" w:color="auto"/>
                    <w:right w:val="none" w:sz="0" w:space="0" w:color="auto"/>
                  </w:divBdr>
                  <w:divsChild>
                    <w:div w:id="1629507526">
                      <w:marLeft w:val="0"/>
                      <w:marRight w:val="0"/>
                      <w:marTop w:val="0"/>
                      <w:marBottom w:val="0"/>
                      <w:divBdr>
                        <w:top w:val="none" w:sz="0" w:space="0" w:color="auto"/>
                        <w:left w:val="none" w:sz="0" w:space="0" w:color="auto"/>
                        <w:bottom w:val="none" w:sz="0" w:space="0" w:color="auto"/>
                        <w:right w:val="none" w:sz="0" w:space="0" w:color="auto"/>
                      </w:divBdr>
                      <w:divsChild>
                        <w:div w:id="1547831119">
                          <w:marLeft w:val="0"/>
                          <w:marRight w:val="0"/>
                          <w:marTop w:val="0"/>
                          <w:marBottom w:val="0"/>
                          <w:divBdr>
                            <w:top w:val="none" w:sz="0" w:space="0" w:color="auto"/>
                            <w:left w:val="none" w:sz="0" w:space="0" w:color="auto"/>
                            <w:bottom w:val="none" w:sz="0" w:space="0" w:color="auto"/>
                            <w:right w:val="none" w:sz="0" w:space="0" w:color="auto"/>
                          </w:divBdr>
                          <w:divsChild>
                            <w:div w:id="1602452177">
                              <w:marLeft w:val="0"/>
                              <w:marRight w:val="0"/>
                              <w:marTop w:val="0"/>
                              <w:marBottom w:val="0"/>
                              <w:divBdr>
                                <w:top w:val="none" w:sz="0" w:space="0" w:color="auto"/>
                                <w:left w:val="none" w:sz="0" w:space="0" w:color="auto"/>
                                <w:bottom w:val="none" w:sz="0" w:space="0" w:color="auto"/>
                                <w:right w:val="none" w:sz="0" w:space="0" w:color="auto"/>
                              </w:divBdr>
                              <w:divsChild>
                                <w:div w:id="1284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696333">
          <w:marLeft w:val="0"/>
          <w:marRight w:val="0"/>
          <w:marTop w:val="0"/>
          <w:marBottom w:val="0"/>
          <w:divBdr>
            <w:top w:val="none" w:sz="0" w:space="0" w:color="auto"/>
            <w:left w:val="none" w:sz="0" w:space="0" w:color="auto"/>
            <w:bottom w:val="none" w:sz="0" w:space="0" w:color="auto"/>
            <w:right w:val="none" w:sz="0" w:space="0" w:color="auto"/>
          </w:divBdr>
          <w:divsChild>
            <w:div w:id="629556893">
              <w:marLeft w:val="0"/>
              <w:marRight w:val="0"/>
              <w:marTop w:val="0"/>
              <w:marBottom w:val="0"/>
              <w:divBdr>
                <w:top w:val="none" w:sz="0" w:space="0" w:color="auto"/>
                <w:left w:val="none" w:sz="0" w:space="0" w:color="auto"/>
                <w:bottom w:val="none" w:sz="0" w:space="0" w:color="auto"/>
                <w:right w:val="none" w:sz="0" w:space="0" w:color="auto"/>
              </w:divBdr>
              <w:divsChild>
                <w:div w:id="534467097">
                  <w:marLeft w:val="0"/>
                  <w:marRight w:val="0"/>
                  <w:marTop w:val="0"/>
                  <w:marBottom w:val="0"/>
                  <w:divBdr>
                    <w:top w:val="none" w:sz="0" w:space="0" w:color="auto"/>
                    <w:left w:val="none" w:sz="0" w:space="0" w:color="auto"/>
                    <w:bottom w:val="none" w:sz="0" w:space="0" w:color="auto"/>
                    <w:right w:val="none" w:sz="0" w:space="0" w:color="auto"/>
                  </w:divBdr>
                  <w:divsChild>
                    <w:div w:id="258489002">
                      <w:marLeft w:val="0"/>
                      <w:marRight w:val="0"/>
                      <w:marTop w:val="0"/>
                      <w:marBottom w:val="0"/>
                      <w:divBdr>
                        <w:top w:val="none" w:sz="0" w:space="0" w:color="auto"/>
                        <w:left w:val="none" w:sz="0" w:space="0" w:color="auto"/>
                        <w:bottom w:val="none" w:sz="0" w:space="0" w:color="auto"/>
                        <w:right w:val="none" w:sz="0" w:space="0" w:color="auto"/>
                      </w:divBdr>
                    </w:div>
                    <w:div w:id="484248426">
                      <w:marLeft w:val="0"/>
                      <w:marRight w:val="0"/>
                      <w:marTop w:val="0"/>
                      <w:marBottom w:val="0"/>
                      <w:divBdr>
                        <w:top w:val="none" w:sz="0" w:space="0" w:color="auto"/>
                        <w:left w:val="none" w:sz="0" w:space="0" w:color="auto"/>
                        <w:bottom w:val="none" w:sz="0" w:space="0" w:color="auto"/>
                        <w:right w:val="none" w:sz="0" w:space="0" w:color="auto"/>
                      </w:divBdr>
                    </w:div>
                    <w:div w:id="1950577644">
                      <w:marLeft w:val="0"/>
                      <w:marRight w:val="0"/>
                      <w:marTop w:val="0"/>
                      <w:marBottom w:val="0"/>
                      <w:divBdr>
                        <w:top w:val="none" w:sz="0" w:space="0" w:color="auto"/>
                        <w:left w:val="none" w:sz="0" w:space="0" w:color="auto"/>
                        <w:bottom w:val="none" w:sz="0" w:space="0" w:color="auto"/>
                        <w:right w:val="none" w:sz="0" w:space="0" w:color="auto"/>
                      </w:divBdr>
                    </w:div>
                    <w:div w:id="1046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1273">
          <w:marLeft w:val="0"/>
          <w:marRight w:val="0"/>
          <w:marTop w:val="0"/>
          <w:marBottom w:val="0"/>
          <w:divBdr>
            <w:top w:val="none" w:sz="0" w:space="0" w:color="auto"/>
            <w:left w:val="none" w:sz="0" w:space="0" w:color="auto"/>
            <w:bottom w:val="none" w:sz="0" w:space="0" w:color="auto"/>
            <w:right w:val="none" w:sz="0" w:space="0" w:color="auto"/>
          </w:divBdr>
          <w:divsChild>
            <w:div w:id="1005520469">
              <w:marLeft w:val="0"/>
              <w:marRight w:val="0"/>
              <w:marTop w:val="0"/>
              <w:marBottom w:val="0"/>
              <w:divBdr>
                <w:top w:val="none" w:sz="0" w:space="0" w:color="auto"/>
                <w:left w:val="none" w:sz="0" w:space="0" w:color="auto"/>
                <w:bottom w:val="none" w:sz="0" w:space="0" w:color="auto"/>
                <w:right w:val="none" w:sz="0" w:space="0" w:color="auto"/>
              </w:divBdr>
              <w:divsChild>
                <w:div w:id="1353259111">
                  <w:marLeft w:val="0"/>
                  <w:marRight w:val="0"/>
                  <w:marTop w:val="0"/>
                  <w:marBottom w:val="0"/>
                  <w:divBdr>
                    <w:top w:val="none" w:sz="0" w:space="0" w:color="auto"/>
                    <w:left w:val="none" w:sz="0" w:space="0" w:color="auto"/>
                    <w:bottom w:val="none" w:sz="0" w:space="0" w:color="auto"/>
                    <w:right w:val="none" w:sz="0" w:space="0" w:color="auto"/>
                  </w:divBdr>
                  <w:divsChild>
                    <w:div w:id="457573045">
                      <w:marLeft w:val="0"/>
                      <w:marRight w:val="0"/>
                      <w:marTop w:val="0"/>
                      <w:marBottom w:val="0"/>
                      <w:divBdr>
                        <w:top w:val="none" w:sz="0" w:space="0" w:color="auto"/>
                        <w:left w:val="none" w:sz="0" w:space="0" w:color="auto"/>
                        <w:bottom w:val="none" w:sz="0" w:space="0" w:color="auto"/>
                        <w:right w:val="none" w:sz="0" w:space="0" w:color="auto"/>
                      </w:divBdr>
                      <w:divsChild>
                        <w:div w:id="694693078">
                          <w:marLeft w:val="0"/>
                          <w:marRight w:val="0"/>
                          <w:marTop w:val="0"/>
                          <w:marBottom w:val="0"/>
                          <w:divBdr>
                            <w:top w:val="none" w:sz="0" w:space="0" w:color="auto"/>
                            <w:left w:val="none" w:sz="0" w:space="0" w:color="auto"/>
                            <w:bottom w:val="none" w:sz="0" w:space="0" w:color="auto"/>
                            <w:right w:val="none" w:sz="0" w:space="0" w:color="auto"/>
                          </w:divBdr>
                          <w:divsChild>
                            <w:div w:id="756363051">
                              <w:marLeft w:val="0"/>
                              <w:marRight w:val="0"/>
                              <w:marTop w:val="0"/>
                              <w:marBottom w:val="0"/>
                              <w:divBdr>
                                <w:top w:val="none" w:sz="0" w:space="0" w:color="auto"/>
                                <w:left w:val="none" w:sz="0" w:space="0" w:color="auto"/>
                                <w:bottom w:val="none" w:sz="0" w:space="0" w:color="auto"/>
                                <w:right w:val="none" w:sz="0" w:space="0" w:color="auto"/>
                              </w:divBdr>
                              <w:divsChild>
                                <w:div w:id="596257489">
                                  <w:marLeft w:val="0"/>
                                  <w:marRight w:val="0"/>
                                  <w:marTop w:val="0"/>
                                  <w:marBottom w:val="0"/>
                                  <w:divBdr>
                                    <w:top w:val="none" w:sz="0" w:space="0" w:color="auto"/>
                                    <w:left w:val="none" w:sz="0" w:space="0" w:color="auto"/>
                                    <w:bottom w:val="none" w:sz="0" w:space="0" w:color="auto"/>
                                    <w:right w:val="none" w:sz="0" w:space="0" w:color="auto"/>
                                  </w:divBdr>
                                  <w:divsChild>
                                    <w:div w:id="688874427">
                                      <w:marLeft w:val="0"/>
                                      <w:marRight w:val="0"/>
                                      <w:marTop w:val="0"/>
                                      <w:marBottom w:val="0"/>
                                      <w:divBdr>
                                        <w:top w:val="none" w:sz="0" w:space="0" w:color="auto"/>
                                        <w:left w:val="none" w:sz="0" w:space="0" w:color="auto"/>
                                        <w:bottom w:val="none" w:sz="0" w:space="0" w:color="auto"/>
                                        <w:right w:val="none" w:sz="0" w:space="0" w:color="auto"/>
                                      </w:divBdr>
                                      <w:divsChild>
                                        <w:div w:id="20382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asitipedia.net/index.php?option=com_content&amp;view=article&amp;id=48&amp;Itemid=8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4994</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Malagon,Carlos (AH GCB Rum) BIAHM-MX-G</dc:creator>
  <cp:keywords/>
  <dc:description/>
  <cp:lastModifiedBy>Jonathan Cerna</cp:lastModifiedBy>
  <cp:revision>2</cp:revision>
  <dcterms:created xsi:type="dcterms:W3CDTF">2023-07-10T20:25:00Z</dcterms:created>
  <dcterms:modified xsi:type="dcterms:W3CDTF">2023-07-10T20:25:00Z</dcterms:modified>
</cp:coreProperties>
</file>